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Arsenal" w:hAnsi="Arsenal" w:eastAsia="Arsenal" w:cs="Arsenal"/>
          <w:b/>
          <w:b/>
          <w:sz w:val="30"/>
          <w:szCs w:val="30"/>
        </w:rPr>
      </w:pPr>
      <w:r>
        <w:rPr>
          <w:rFonts w:eastAsia="Arsenal" w:cs="Arsenal" w:ascii="Arsenal" w:hAnsi="Arsenal"/>
          <w:b/>
          <w:sz w:val="30"/>
          <w:szCs w:val="30"/>
        </w:rPr>
        <w:t>ANEXO II "MEMORIA PREVIA DE ACTIVIDADES 2024"</w:t>
      </w:r>
    </w:p>
    <w:p>
      <w:pPr>
        <w:pStyle w:val="LOnormal"/>
        <w:widowControl w:val="false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widowControl w:val="false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widowControl w:val="false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tbl>
      <w:tblPr>
        <w:tblStyle w:val="Table1"/>
        <w:tblW w:w="8910" w:type="dxa"/>
        <w:jc w:val="left"/>
        <w:tblInd w:w="117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419"/>
        <w:gridCol w:w="2490"/>
      </w:tblGrid>
      <w:tr>
        <w:trPr>
          <w:trHeight w:val="525" w:hRule="atLeast"/>
        </w:trPr>
        <w:tc>
          <w:tcPr>
            <w:tcW w:w="641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color w:val="666666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Centro: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21"/>
                <w:szCs w:val="21"/>
              </w:rPr>
            </w:pPr>
            <w:r>
              <w:rPr>
                <w:rFonts w:eastAsia="Raleway" w:cs="Raleway" w:ascii="Raleway" w:hAnsi="Raleway"/>
                <w:sz w:val="21"/>
                <w:szCs w:val="21"/>
              </w:rPr>
              <w:t>Vuela Belmez</w:t>
            </w:r>
          </w:p>
        </w:tc>
        <w:tc>
          <w:tcPr>
            <w:tcW w:w="24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color w:val="666666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Fecha: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21"/>
                <w:szCs w:val="21"/>
              </w:rPr>
            </w:pPr>
            <w:r>
              <w:rPr>
                <w:rFonts w:eastAsia="Raleway" w:cs="Raleway" w:ascii="Raleway" w:hAnsi="Raleway"/>
                <w:sz w:val="21"/>
                <w:szCs w:val="21"/>
              </w:rPr>
              <w:t>15/04/2024</w:t>
            </w:r>
          </w:p>
        </w:tc>
      </w:tr>
    </w:tbl>
    <w:p>
      <w:pPr>
        <w:pStyle w:val="LOnormal"/>
        <w:widowControl w:val="false"/>
        <w:spacing w:lineRule="auto" w:line="240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widowControl w:val="false"/>
        <w:spacing w:lineRule="auto" w:line="240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tbl>
      <w:tblPr>
        <w:tblStyle w:val="Table2"/>
        <w:tblW w:w="8910" w:type="dxa"/>
        <w:jc w:val="left"/>
        <w:tblInd w:w="117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28"/>
        <w:gridCol w:w="6481"/>
      </w:tblGrid>
      <w:tr>
        <w:trPr>
          <w:trHeight w:val="525" w:hRule="atLeast"/>
        </w:trPr>
        <w:tc>
          <w:tcPr>
            <w:tcW w:w="8909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E555" w:val="clea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b/>
                <w:b/>
                <w:sz w:val="24"/>
                <w:szCs w:val="24"/>
              </w:rPr>
            </w:pPr>
            <w:r>
              <w:rPr>
                <w:rFonts w:eastAsia="Arsenal" w:cs="Arsenal" w:ascii="Arsenal" w:hAnsi="Arsenal"/>
                <w:b/>
                <w:sz w:val="24"/>
                <w:szCs w:val="24"/>
              </w:rPr>
              <w:t>1. Datos básicos</w:t>
            </w:r>
          </w:p>
        </w:tc>
      </w:tr>
      <w:tr>
        <w:trPr>
          <w:trHeight w:val="525" w:hRule="atLeast"/>
        </w:trPr>
        <w:tc>
          <w:tcPr>
            <w:tcW w:w="242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color w:val="666666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Provincia: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Arsenal" w:hAnsi="Arsenal" w:eastAsia="Arsenal" w:cs="Arsenal"/>
                <w:sz w:val="21"/>
                <w:szCs w:val="21"/>
              </w:rPr>
            </w:pPr>
            <w:r>
              <w:rPr>
                <w:rFonts w:eastAsia="Arsenal" w:cs="Arsenal" w:ascii="Arsenal" w:hAnsi="Arsenal"/>
                <w:sz w:val="21"/>
                <w:szCs w:val="21"/>
              </w:rPr>
              <w:t>Córdoba</w:t>
            </w:r>
          </w:p>
        </w:tc>
        <w:tc>
          <w:tcPr>
            <w:tcW w:w="648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color w:val="666666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Municipio: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Arsenal" w:hAnsi="Arsenal" w:eastAsia="Arsenal" w:cs="Arsenal"/>
                <w:sz w:val="21"/>
                <w:szCs w:val="21"/>
              </w:rPr>
            </w:pPr>
            <w:r>
              <w:rPr>
                <w:rFonts w:eastAsia="Arsenal" w:cs="Arsenal" w:ascii="Arsenal" w:hAnsi="Arsenal"/>
                <w:sz w:val="21"/>
                <w:szCs w:val="21"/>
              </w:rPr>
              <w:t>Belmez</w:t>
            </w:r>
          </w:p>
        </w:tc>
      </w:tr>
      <w:tr>
        <w:trPr>
          <w:trHeight w:val="525" w:hRule="atLeast"/>
        </w:trPr>
        <w:tc>
          <w:tcPr>
            <w:tcW w:w="242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2B3D4F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Año memoria: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21"/>
                <w:szCs w:val="21"/>
              </w:rPr>
            </w:pPr>
            <w:r>
              <w:rPr>
                <w:rFonts w:eastAsia="Raleway" w:cs="Raleway" w:ascii="Raleway" w:hAnsi="Raleway"/>
                <w:sz w:val="21"/>
                <w:szCs w:val="21"/>
              </w:rPr>
              <w:t>2024</w:t>
            </w:r>
          </w:p>
        </w:tc>
        <w:tc>
          <w:tcPr>
            <w:tcW w:w="6481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2B3D4F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Periodo Memoria (mes inicio-mes fin):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19"/>
                <w:szCs w:val="19"/>
              </w:rPr>
            </w:pPr>
            <w:r>
              <w:rPr>
                <w:rFonts w:eastAsia="Raleway" w:cs="Raleway" w:ascii="Raleway" w:hAnsi="Raleway"/>
                <w:sz w:val="19"/>
                <w:szCs w:val="19"/>
              </w:rPr>
              <w:t>Enero - Diciembre</w:t>
            </w:r>
          </w:p>
        </w:tc>
      </w:tr>
      <w:tr>
        <w:trPr>
          <w:trHeight w:val="525" w:hRule="atLeast"/>
        </w:trPr>
        <w:tc>
          <w:tcPr>
            <w:tcW w:w="8909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2B3D4F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Nº habitantes del municipio: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21"/>
                <w:szCs w:val="21"/>
              </w:rPr>
            </w:pPr>
            <w:r>
              <w:rPr>
                <w:rFonts w:eastAsia="Raleway" w:cs="Raleway" w:ascii="Raleway" w:hAnsi="Raleway"/>
                <w:sz w:val="21"/>
                <w:szCs w:val="21"/>
              </w:rPr>
              <w:t>2862</w:t>
            </w:r>
          </w:p>
        </w:tc>
      </w:tr>
      <w:tr>
        <w:trPr>
          <w:trHeight w:val="525" w:hRule="atLeast"/>
        </w:trPr>
        <w:tc>
          <w:tcPr>
            <w:tcW w:w="8909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2B3D4F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Horario de funcionamiento: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21"/>
                <w:szCs w:val="21"/>
              </w:rPr>
            </w:pPr>
            <w:r>
              <w:rPr>
                <w:rFonts w:eastAsia="Raleway" w:cs="Raleway" w:ascii="Raleway" w:hAnsi="Raleway"/>
                <w:sz w:val="21"/>
                <w:szCs w:val="21"/>
              </w:rPr>
              <w:t xml:space="preserve">De lunes a viernes 09,00h a 14,00h De lunes a </w:t>
            </w:r>
            <w:r>
              <w:rPr>
                <w:rFonts w:eastAsia="Raleway" w:cs="Raleway" w:ascii="Raleway" w:hAnsi="Raleway"/>
                <w:color w:val="auto"/>
                <w:kern w:val="0"/>
                <w:sz w:val="21"/>
                <w:szCs w:val="21"/>
                <w:lang w:val="es" w:eastAsia="zh-CN" w:bidi="hi-IN"/>
              </w:rPr>
              <w:t>viernes</w:t>
            </w:r>
            <w:r>
              <w:rPr>
                <w:rFonts w:eastAsia="Raleway" w:cs="Raleway" w:ascii="Raleway" w:hAnsi="Raleway"/>
                <w:sz w:val="21"/>
                <w:szCs w:val="21"/>
              </w:rPr>
              <w:t xml:space="preserve"> 16,00 a 19,</w:t>
            </w:r>
            <w:r>
              <w:rPr>
                <w:rFonts w:eastAsia="Raleway" w:cs="Raleway" w:ascii="Raleway" w:hAnsi="Raleway"/>
                <w:sz w:val="21"/>
                <w:szCs w:val="21"/>
              </w:rPr>
              <w:t>00</w:t>
            </w:r>
            <w:r>
              <w:rPr>
                <w:rFonts w:eastAsia="Raleway" w:cs="Raleway" w:ascii="Raleway" w:hAnsi="Raleway"/>
                <w:sz w:val="21"/>
                <w:szCs w:val="21"/>
              </w:rPr>
              <w:t>h</w:t>
            </w:r>
          </w:p>
        </w:tc>
      </w:tr>
      <w:tr>
        <w:trPr>
          <w:trHeight w:val="525" w:hRule="atLeast"/>
        </w:trPr>
        <w:tc>
          <w:tcPr>
            <w:tcW w:w="8909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color w:val="666666"/>
                <w:sz w:val="19"/>
                <w:szCs w:val="19"/>
              </w:rPr>
            </w:pPr>
            <w:r>
              <w:rPr>
                <w:rFonts w:eastAsia="Arsenal" w:cs="Arsenal" w:ascii="Arsenal" w:hAnsi="Arsenal"/>
                <w:color w:val="666666"/>
                <w:sz w:val="19"/>
                <w:szCs w:val="19"/>
              </w:rPr>
              <w:t>Nombre del/la dinamizador/a:</w:t>
            </w:r>
          </w:p>
          <w:p>
            <w:pPr>
              <w:pStyle w:val="LOnormal"/>
              <w:widowControl w:val="false"/>
              <w:spacing w:lineRule="auto" w:line="240" w:before="149" w:after="0"/>
              <w:ind w:left="0" w:hanging="0"/>
              <w:rPr>
                <w:rFonts w:ascii="Raleway" w:hAnsi="Raleway" w:eastAsia="Raleway" w:cs="Raleway"/>
                <w:sz w:val="21"/>
                <w:szCs w:val="21"/>
              </w:rPr>
            </w:pPr>
            <w:r>
              <w:rPr>
                <w:rFonts w:eastAsia="Raleway" w:cs="Raleway" w:ascii="Raleway" w:hAnsi="Raleway"/>
                <w:sz w:val="21"/>
                <w:szCs w:val="21"/>
              </w:rPr>
              <w:t>Blanca Benito Fernández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tbl>
      <w:tblPr>
        <w:tblStyle w:val="Table3"/>
        <w:tblW w:w="8910" w:type="dxa"/>
        <w:jc w:val="left"/>
        <w:tblInd w:w="117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23"/>
        <w:gridCol w:w="4005"/>
        <w:gridCol w:w="1382"/>
      </w:tblGrid>
      <w:tr>
        <w:trPr>
          <w:trHeight w:val="525" w:hRule="atLeast"/>
        </w:trPr>
        <w:tc>
          <w:tcPr>
            <w:tcW w:w="8910" w:type="dxa"/>
            <w:gridSpan w:val="3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E555" w:val="clea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b/>
                <w:b/>
                <w:sz w:val="24"/>
                <w:szCs w:val="24"/>
              </w:rPr>
            </w:pPr>
            <w:r>
              <w:rPr>
                <w:rFonts w:eastAsia="Arsenal" w:cs="Arsenal" w:ascii="Arsenal" w:hAnsi="Arsenal"/>
                <w:b/>
                <w:sz w:val="24"/>
                <w:szCs w:val="24"/>
              </w:rPr>
              <w:t>2. Planificación global de las acciones a llevar a cabo en el centro</w:t>
            </w:r>
          </w:p>
        </w:tc>
      </w:tr>
      <w:tr>
        <w:trPr>
          <w:trHeight w:val="525" w:hRule="atLeast"/>
        </w:trPr>
        <w:tc>
          <w:tcPr>
            <w:tcW w:w="352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9CB9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Arsenal" w:hAnsi="Arsenal" w:eastAsia="Arsenal" w:cs="Arsenal"/>
                <w:color w:val="434343"/>
                <w:sz w:val="24"/>
                <w:szCs w:val="24"/>
              </w:rPr>
            </w:pPr>
            <w:r>
              <w:rPr>
                <w:rFonts w:eastAsia="Arsenal" w:cs="Arsenal" w:ascii="Arsenal" w:hAnsi="Arsenal"/>
                <w:color w:val="434343"/>
                <w:sz w:val="24"/>
                <w:szCs w:val="24"/>
              </w:rPr>
              <w:t>Acciones</w:t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9CB9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Arsenal" w:hAnsi="Arsenal" w:eastAsia="Arsenal" w:cs="Arsenal"/>
                <w:color w:val="434343"/>
                <w:sz w:val="24"/>
                <w:szCs w:val="24"/>
              </w:rPr>
            </w:pPr>
            <w:r>
              <w:rPr>
                <w:rFonts w:eastAsia="Arsenal" w:cs="Arsenal" w:ascii="Arsenal" w:hAnsi="Arsenal"/>
                <w:color w:val="434343"/>
                <w:sz w:val="24"/>
                <w:szCs w:val="24"/>
              </w:rPr>
              <w:t>Subcategoría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9CB9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Arsenal" w:hAnsi="Arsenal" w:eastAsia="Arsenal" w:cs="Arsenal"/>
                <w:color w:val="434343"/>
                <w:sz w:val="24"/>
                <w:szCs w:val="24"/>
              </w:rPr>
            </w:pPr>
            <w:r>
              <w:rPr>
                <w:rFonts w:eastAsia="Arsenal" w:cs="Arsenal" w:ascii="Arsenal" w:hAnsi="Arsenal"/>
                <w:color w:val="434343"/>
                <w:sz w:val="24"/>
                <w:szCs w:val="24"/>
              </w:rPr>
              <w:t>Número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Servicios/Acompañamiento</w:t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Acompañamiento tecnológico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Uso individual del centro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Asistencia al usuario en plataformas digitales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Acompañamiento educativo/formativo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Acompañamiento empresarial/laboral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24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Actividades: Tipo I - Formación</w:t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Formación online individual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Formación presencial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Formación en red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Actividades: Tipo II - Dinamización</w:t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Ponencia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Networking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Taller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3523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400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Coworking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3F3F3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2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tbl>
      <w:tblPr>
        <w:tblStyle w:val="Table4"/>
        <w:tblW w:w="8910" w:type="dxa"/>
        <w:jc w:val="left"/>
        <w:tblInd w:w="117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5"/>
        <w:gridCol w:w="6673"/>
        <w:gridCol w:w="1382"/>
      </w:tblGrid>
      <w:tr>
        <w:trPr>
          <w:trHeight w:val="525" w:hRule="atLeast"/>
        </w:trPr>
        <w:tc>
          <w:tcPr>
            <w:tcW w:w="8910" w:type="dxa"/>
            <w:gridSpan w:val="3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E555" w:val="clea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Arsenal" w:hAnsi="Arsenal" w:eastAsia="Arsenal" w:cs="Arsenal"/>
                <w:b/>
                <w:b/>
                <w:sz w:val="24"/>
                <w:szCs w:val="24"/>
              </w:rPr>
            </w:pPr>
            <w:r>
              <w:rPr>
                <w:rFonts w:eastAsia="Arsenal" w:cs="Arsenal" w:ascii="Arsenal" w:hAnsi="Arsenal"/>
                <w:b/>
                <w:sz w:val="24"/>
                <w:szCs w:val="24"/>
              </w:rPr>
              <w:t>3. Pesos de las dedicaciones</w:t>
            </w:r>
          </w:p>
        </w:tc>
      </w:tr>
      <w:tr>
        <w:trPr>
          <w:trHeight w:val="525" w:hRule="atLeast"/>
        </w:trPr>
        <w:tc>
          <w:tcPr>
            <w:tcW w:w="8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9CB9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Arsenal" w:hAnsi="Arsenal" w:eastAsia="Arsenal" w:cs="Arsenal"/>
                <w:color w:val="434343"/>
                <w:sz w:val="24"/>
                <w:szCs w:val="24"/>
              </w:rPr>
            </w:pPr>
            <w:r>
              <w:rPr>
                <w:rFonts w:eastAsia="Arsenal" w:cs="Arsenal" w:ascii="Arsenal" w:hAnsi="Arsenal"/>
                <w:color w:val="434343"/>
                <w:sz w:val="24"/>
                <w:szCs w:val="24"/>
              </w:rPr>
              <w:t>Eje</w:t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9CB9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Arsenal" w:hAnsi="Arsenal" w:eastAsia="Arsenal" w:cs="Arsenal"/>
                <w:color w:val="434343"/>
                <w:sz w:val="24"/>
                <w:szCs w:val="24"/>
              </w:rPr>
            </w:pPr>
            <w:r>
              <w:rPr>
                <w:rFonts w:eastAsia="Arsenal" w:cs="Arsenal" w:ascii="Arsenal" w:hAnsi="Arsenal"/>
                <w:color w:val="434343"/>
                <w:sz w:val="24"/>
                <w:szCs w:val="24"/>
              </w:rPr>
              <w:t>Líneas de la Estrategia Guadalinfo</w:t>
            </w:r>
          </w:p>
        </w:tc>
        <w:tc>
          <w:tcPr>
            <w:tcW w:w="138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9CB9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Arsenal" w:hAnsi="Arsenal" w:eastAsia="Arsenal" w:cs="Arsenal"/>
                <w:color w:val="434343"/>
                <w:sz w:val="24"/>
                <w:szCs w:val="24"/>
              </w:rPr>
            </w:pPr>
            <w:r>
              <w:rPr>
                <w:rFonts w:eastAsia="Arsenal" w:cs="Arsenal" w:ascii="Arsenal" w:hAnsi="Arsenal"/>
                <w:color w:val="434343"/>
                <w:sz w:val="24"/>
                <w:szCs w:val="24"/>
              </w:rPr>
              <w:t>Peso (%)</w:t>
            </w:r>
          </w:p>
        </w:tc>
      </w:tr>
      <w:tr>
        <w:trPr>
          <w:trHeight w:val="525" w:hRule="atLeast"/>
        </w:trPr>
        <w:tc>
          <w:tcPr>
            <w:tcW w:w="855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Eje 1</w:t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L01. Capacitación digital para ciudadanía, con especial atención hacia las mujeres (STEM) y colectivos de inclusión.</w:t>
            </w:r>
          </w:p>
        </w:tc>
        <w:tc>
          <w:tcPr>
            <w:tcW w:w="1382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15%</w:t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L02. Acceso a tecnologías emergentes.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  <w:tr>
        <w:trPr>
          <w:trHeight w:val="525" w:hRule="atLeast"/>
        </w:trPr>
        <w:tc>
          <w:tcPr>
            <w:tcW w:w="855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Eje 2</w:t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L03. Evolución del concepto actual de centro y del modelo de dinamización.</w:t>
            </w:r>
          </w:p>
        </w:tc>
        <w:tc>
          <w:tcPr>
            <w:tcW w:w="1382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35%</w:t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L04. Reto demográfico.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  <w:tr>
        <w:trPr>
          <w:trHeight w:val="525" w:hRule="atLeast"/>
        </w:trPr>
        <w:tc>
          <w:tcPr>
            <w:tcW w:w="855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Eje 3</w:t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L05. Competencias digitales avanzadas para la empleabilidad.</w:t>
            </w:r>
          </w:p>
        </w:tc>
        <w:tc>
          <w:tcPr>
            <w:tcW w:w="1382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15%</w:t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L06. Desarrollo de competencias digitales para reducir la exclusión financiera.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L07. Acceso a ayudas sociales y becas.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L08. Competencias digitales para pymes y comercios.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L09. Formación de profesionales Especialistas Digitales.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CE5CD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  <w:tr>
        <w:trPr>
          <w:trHeight w:val="525" w:hRule="atLeast"/>
        </w:trPr>
        <w:tc>
          <w:tcPr>
            <w:tcW w:w="855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Raleway" w:hAnsi="Raleway" w:eastAsia="Raleway" w:cs="Raleway"/>
                <w:color w:val="666666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666666"/>
                <w:sz w:val="19"/>
                <w:szCs w:val="19"/>
              </w:rPr>
              <w:t>Eje 4</w:t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L10. Certificación digital de la ciudadanía y Carpeta Digital Ciudadana.</w:t>
            </w:r>
          </w:p>
        </w:tc>
        <w:tc>
          <w:tcPr>
            <w:tcW w:w="1382" w:type="dxa"/>
            <w:vMerge w:val="restart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jc w:val="center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35%</w:t>
            </w:r>
          </w:p>
        </w:tc>
      </w:tr>
      <w:tr>
        <w:trPr>
          <w:trHeight w:val="525" w:hRule="atLeast"/>
        </w:trPr>
        <w:tc>
          <w:tcPr>
            <w:tcW w:w="855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  <w:tc>
          <w:tcPr>
            <w:tcW w:w="667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49" w:after="0"/>
              <w:ind w:left="100" w:hanging="0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  <w:t>L11. Fomentar el conocimiento de la telemedicina, justicia telemática y servicios avanzados de la administración pública</w:t>
            </w:r>
          </w:p>
        </w:tc>
        <w:tc>
          <w:tcPr>
            <w:tcW w:w="1382" w:type="dxa"/>
            <w:vMerge w:val="continue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fill="FFF2CC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Raleway" w:hAnsi="Raleway" w:eastAsia="Raleway" w:cs="Raleway"/>
                <w:color w:val="434343"/>
                <w:sz w:val="19"/>
                <w:szCs w:val="19"/>
              </w:rPr>
            </w:pPr>
            <w:r>
              <w:rPr>
                <w:rFonts w:eastAsia="Raleway" w:cs="Raleway" w:ascii="Raleway" w:hAnsi="Raleway"/>
                <w:color w:val="434343"/>
                <w:sz w:val="19"/>
                <w:szCs w:val="19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>
          <w:rFonts w:eastAsia="Arsenal" w:cs="Arsenal" w:ascii="Arsenal" w:hAnsi="Arsenal"/>
          <w:sz w:val="16"/>
          <w:szCs w:val="1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20"/>
          <w:szCs w:val="20"/>
          <w:u w:val="single"/>
        </w:rPr>
      </w:pPr>
      <w:r>
        <w:rPr>
          <w:rFonts w:eastAsia="Arsenal" w:cs="Arsenal" w:ascii="Arsenal" w:hAnsi="Arsenal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20"/>
          <w:szCs w:val="20"/>
        </w:rPr>
      </w:pPr>
      <w:r>
        <w:rPr>
          <w:rFonts w:eastAsia="Arsenal" w:cs="Arsenal" w:ascii="Arsenal" w:hAnsi="Arsenal"/>
          <w:sz w:val="20"/>
          <w:szCs w:val="20"/>
          <w:u w:val="single"/>
        </w:rPr>
        <w:t>Notas</w:t>
      </w:r>
      <w:r>
        <w:rPr>
          <w:rFonts w:eastAsia="Arsenal" w:cs="Arsenal" w:ascii="Arsenal" w:hAnsi="Arsenal"/>
          <w:sz w:val="20"/>
          <w:szCs w:val="20"/>
        </w:rPr>
        <w:t>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Arsenal" w:hAnsi="Arsenal" w:eastAsia="Arsenal" w:cs="Arsenal"/>
          <w:sz w:val="20"/>
          <w:szCs w:val="20"/>
          <w:u w:val="none"/>
        </w:rPr>
      </w:pPr>
      <w:r>
        <w:rPr>
          <w:rFonts w:eastAsia="Arsenal" w:cs="Arsenal" w:ascii="Arsenal" w:hAnsi="Arsenal"/>
          <w:sz w:val="20"/>
          <w:szCs w:val="20"/>
        </w:rPr>
        <w:t>La planificación de las acciones a realizar se ha llevado a cabo teniendo en cuenta el número de habitantes del municipio, distinguiendo la siguiente tipología de centros:</w:t>
      </w:r>
    </w:p>
    <w:p>
      <w:pPr>
        <w:pStyle w:val="LOnormal"/>
        <w:widowControl w:val="false"/>
        <w:numPr>
          <w:ilvl w:val="1"/>
          <w:numId w:val="1"/>
        </w:numPr>
        <w:spacing w:lineRule="auto" w:line="240"/>
        <w:ind w:left="1440" w:hanging="360"/>
        <w:rPr>
          <w:rFonts w:ascii="Arsenal" w:hAnsi="Arsenal" w:eastAsia="Arsenal" w:cs="Arsenal"/>
          <w:sz w:val="20"/>
          <w:szCs w:val="20"/>
        </w:rPr>
      </w:pPr>
      <w:r>
        <w:rPr>
          <w:rFonts w:eastAsia="Arsenal" w:cs="Arsenal" w:ascii="Arsenal" w:hAnsi="Arsenal"/>
          <w:sz w:val="20"/>
          <w:szCs w:val="20"/>
        </w:rPr>
        <w:t>A1: entre 1 y 499 habitantes.</w:t>
      </w:r>
    </w:p>
    <w:p>
      <w:pPr>
        <w:pStyle w:val="LOnormal"/>
        <w:widowControl w:val="false"/>
        <w:numPr>
          <w:ilvl w:val="1"/>
          <w:numId w:val="1"/>
        </w:numPr>
        <w:spacing w:lineRule="auto" w:line="240"/>
        <w:ind w:left="1440" w:hanging="360"/>
        <w:rPr>
          <w:rFonts w:ascii="Arsenal" w:hAnsi="Arsenal" w:eastAsia="Arsenal" w:cs="Arsenal"/>
          <w:sz w:val="20"/>
          <w:szCs w:val="20"/>
        </w:rPr>
      </w:pPr>
      <w:r>
        <w:rPr>
          <w:rFonts w:eastAsia="Arsenal" w:cs="Arsenal" w:ascii="Arsenal" w:hAnsi="Arsenal"/>
          <w:sz w:val="20"/>
          <w:szCs w:val="20"/>
        </w:rPr>
        <w:t>A2: entre 500 y 999 habitantes.</w:t>
      </w:r>
    </w:p>
    <w:p>
      <w:pPr>
        <w:pStyle w:val="LOnormal"/>
        <w:widowControl w:val="false"/>
        <w:numPr>
          <w:ilvl w:val="1"/>
          <w:numId w:val="1"/>
        </w:numPr>
        <w:spacing w:lineRule="auto" w:line="240"/>
        <w:ind w:left="1440" w:hanging="360"/>
        <w:rPr>
          <w:rFonts w:ascii="Arsenal" w:hAnsi="Arsenal" w:eastAsia="Arsenal" w:cs="Arsenal"/>
          <w:sz w:val="20"/>
          <w:szCs w:val="20"/>
        </w:rPr>
      </w:pPr>
      <w:r>
        <w:rPr>
          <w:rFonts w:eastAsia="Arsenal" w:cs="Arsenal" w:ascii="Arsenal" w:hAnsi="Arsenal"/>
          <w:sz w:val="20"/>
          <w:szCs w:val="20"/>
        </w:rPr>
        <w:t>B1: entre 1.000 y 4.999 habitantes.</w:t>
      </w:r>
    </w:p>
    <w:p>
      <w:pPr>
        <w:pStyle w:val="LOnormal"/>
        <w:widowControl w:val="false"/>
        <w:numPr>
          <w:ilvl w:val="1"/>
          <w:numId w:val="1"/>
        </w:numPr>
        <w:spacing w:lineRule="auto" w:line="240"/>
        <w:ind w:left="1440" w:hanging="360"/>
        <w:rPr>
          <w:rFonts w:ascii="Arsenal" w:hAnsi="Arsenal" w:eastAsia="Arsenal" w:cs="Arsenal"/>
          <w:sz w:val="20"/>
          <w:szCs w:val="20"/>
        </w:rPr>
      </w:pPr>
      <w:r>
        <w:rPr>
          <w:rFonts w:eastAsia="Arsenal" w:cs="Arsenal" w:ascii="Arsenal" w:hAnsi="Arsenal"/>
          <w:sz w:val="20"/>
          <w:szCs w:val="20"/>
        </w:rPr>
        <w:t>B2: entre 5.000 y 9.999 habitantes.</w:t>
      </w:r>
    </w:p>
    <w:p>
      <w:pPr>
        <w:pStyle w:val="LOnormal"/>
        <w:widowControl w:val="false"/>
        <w:numPr>
          <w:ilvl w:val="1"/>
          <w:numId w:val="1"/>
        </w:numPr>
        <w:spacing w:lineRule="auto" w:line="240"/>
        <w:ind w:left="1440" w:hanging="360"/>
        <w:rPr>
          <w:rFonts w:ascii="Arsenal" w:hAnsi="Arsenal" w:eastAsia="Arsenal" w:cs="Arsenal"/>
          <w:sz w:val="20"/>
          <w:szCs w:val="20"/>
        </w:rPr>
      </w:pPr>
      <w:r>
        <w:rPr>
          <w:rFonts w:eastAsia="Arsenal" w:cs="Arsenal" w:ascii="Arsenal" w:hAnsi="Arsenal"/>
          <w:sz w:val="20"/>
          <w:szCs w:val="20"/>
        </w:rPr>
        <w:t>C: más de 10.000 habitantes.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Arsenal" w:hAnsi="Arsenal" w:eastAsia="Arsenal" w:cs="Arsenal"/>
          <w:sz w:val="20"/>
          <w:szCs w:val="20"/>
          <w:u w:val="none"/>
        </w:rPr>
      </w:pPr>
      <w:r>
        <w:rPr>
          <w:rFonts w:eastAsia="Arsenal" w:cs="Arsenal" w:ascii="Arsenal" w:hAnsi="Arsenal"/>
          <w:sz w:val="20"/>
          <w:szCs w:val="20"/>
        </w:rPr>
        <w:t>La planificación de las acciones previstas a lo largo del período de ejecución del Proyecto es una estimación que puede verse modificada por las necesidades de programación del centro así como por otras circunstancias que pudieran producirse.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senal" w:hAnsi="Arsenal" w:eastAsia="Arsenal" w:cs="Arsenal"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2006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senal">
    <w:charset w:val="01"/>
    <w:family w:val="roman"/>
    <w:pitch w:val="variable"/>
  </w:font>
  <w:font w:name="Raleway">
    <w:charset w:val="01"/>
    <w:family w:val="roman"/>
    <w:pitch w:val="variable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  <w:tbl>
    <w:tblPr>
      <w:tblStyle w:val="Table5"/>
      <w:tblW w:w="9029" w:type="dxa"/>
      <w:jc w:val="left"/>
      <w:tblInd w:w="0" w:type="dxa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4514"/>
      <w:gridCol w:w="4514"/>
    </w:tblGrid>
    <w:tr>
      <w:trPr/>
      <w:tc>
        <w:tcPr>
          <w:tcW w:w="451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drawing>
              <wp:inline distT="0" distB="0" distL="0" distR="0">
                <wp:extent cx="791845" cy="455295"/>
                <wp:effectExtent l="0" t="0" r="0" b="0"/>
                <wp:docPr id="2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drawing>
              <wp:inline distT="0" distB="0" distL="0" distR="0">
                <wp:extent cx="504190" cy="480695"/>
                <wp:effectExtent l="0" t="0" r="0" b="0"/>
                <wp:docPr id="3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90" cy="480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LOnormal"/>
      <w:rPr/>
    </w:pPr>
    <w:r>
      <w:rPr/>
    </w:r>
  </w:p>
  <w:p>
    <w:pPr>
      <w:pStyle w:val="LO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114300</wp:posOffset>
          </wp:positionH>
          <wp:positionV relativeFrom="paragraph">
            <wp:posOffset>46355</wp:posOffset>
          </wp:positionV>
          <wp:extent cx="1233170" cy="41084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decimal"/>
      <w:lvlText w:val="%1.○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○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○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○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○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○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○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eYXOUfOOdN+XTG6ck5eHFWszFA==">CgMxLjA4AHIhMUVRS2N6TTlzQnBJV0U0QjR2Vm4zcTMxV2RiQ0s4U0pG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3</Pages>
  <Words>351</Words>
  <Characters>1994</Characters>
  <CharactersWithSpaces>2255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2023-06-08T12:14:00Z</dcterms:created>
  <dc:creator/>
  <dc:description/>
  <dc:language>es-ES</dc:language>
  <cp:lastModifiedBy/>
  <dcterms:modified xsi:type="dcterms:W3CDTF">2024-04-15T12:56:07Z</dcterms:modified>
  <cp:revision>3</cp:revision>
  <dc:subject/>
  <dc:title/>
</cp:coreProperties>
</file>